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87E6B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rPr>
          <w:rFonts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  <w:shd w:val="clear" w:fill="FFFFFF"/>
        </w:rPr>
        <w:t>教师赛作品征集公告丨2025第三届东方创意之星教师教学创新大赛</w:t>
      </w:r>
    </w:p>
    <w:p w14:paraId="53BAE14D">
      <w:pPr>
        <w:numPr>
          <w:ilvl w:val="0"/>
          <w:numId w:val="1"/>
        </w:numPr>
        <w:jc w:val="both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 xml:space="preserve">大赛背景 </w:t>
      </w:r>
    </w:p>
    <w:p w14:paraId="25942101">
      <w:pPr>
        <w:numPr>
          <w:ilvl w:val="0"/>
          <w:numId w:val="0"/>
        </w:numPr>
        <w:ind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东方创意之星教师教学创新大赛以《国务院办公厅关于深化产教融合的若干意见》《职业教育产教融合赋能提升行动实施方案（2023—2025年）》《中共中央 国务院关于弘扬教育家精神 加强新时代高素质专业化教师队伍建设的意见》等文件精神为指导，创建产教融合与设计产业化协同创新平台。旨在促进教学科研与创新创业一体化探索，尝试破解“企业创新、产业升级、区域招商、成果转化”等现实难题，建立面向社会现实需求、探索教育创新的有效途径。通过校企共建，引导高校教师走向产业，企业导师参与教学；形成以教师为主体，以学生为中心，以产业为导向，以成果为支撑，以竞赛为杠杆，探索“人才培养+科学研究+社会服务+文化传承+国际传播”的创新发展模式。 </w:t>
      </w:r>
    </w:p>
    <w:p w14:paraId="09CAECD0">
      <w:pPr>
        <w:ind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目前，教师赛已获得了国内高校的广泛认可，连续被纳入《普通高校教师教学发展指数》（2022版、2023版、2024版）高校教师教学竞赛目录。大赛严格参照目录赛事的各项要求进行组织实施，并持续推进赛制优化，持续强化产教融合特色，探索驱动校企政协同创新发展之路，践行教师赛“以赛促教，以赛促学，以赛促研”的理念。大赛已被引入国家社科基金项目《设计产业化理论研究及实践》成果。 </w:t>
      </w:r>
    </w:p>
    <w:p w14:paraId="61170E85">
      <w:pPr>
        <w:jc w:val="both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本赛事作为东方创意之星设计大赛赛项之一举办，已于2024年11月22日在第七届中国国际工业设计博览会期间正式启动。 </w:t>
      </w:r>
    </w:p>
    <w:p w14:paraId="36393310">
      <w:pPr>
        <w:numPr>
          <w:ilvl w:val="0"/>
          <w:numId w:val="1"/>
        </w:numPr>
        <w:ind w:left="0" w:leftChars="0" w:firstLine="0" w:firstLineChars="0"/>
        <w:jc w:val="both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 xml:space="preserve">大赛主题 </w:t>
      </w:r>
    </w:p>
    <w:p w14:paraId="46532AED">
      <w:pPr>
        <w:numPr>
          <w:ilvl w:val="0"/>
          <w:numId w:val="0"/>
        </w:numPr>
        <w:ind w:leftChars="0"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提升教学科研能力，促进赛教成果创新 </w:t>
      </w:r>
    </w:p>
    <w:p w14:paraId="471CF4EC">
      <w:pPr>
        <w:numPr>
          <w:ilvl w:val="0"/>
          <w:numId w:val="1"/>
        </w:numPr>
        <w:ind w:left="0" w:leftChars="0" w:firstLine="0" w:firstLineChars="0"/>
        <w:jc w:val="both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组织机构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</w:p>
    <w:p w14:paraId="4FBF437D">
      <w:pPr>
        <w:numPr>
          <w:ilvl w:val="0"/>
          <w:numId w:val="0"/>
        </w:numPr>
        <w:ind w:leftChars="0"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主办单位：工业和信息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</w:rPr>
        <w:t xml:space="preserve">化部国际经济技术合作中心 </w:t>
      </w:r>
    </w:p>
    <w:p w14:paraId="780B884B">
      <w:pPr>
        <w:numPr>
          <w:ilvl w:val="0"/>
          <w:numId w:val="0"/>
        </w:numPr>
        <w:ind w:leftChars="0"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承办单位：耘耕文创平台、各省赛区执委会 </w:t>
      </w:r>
    </w:p>
    <w:p w14:paraId="2F4F4690">
      <w:pPr>
        <w:numPr>
          <w:ilvl w:val="0"/>
          <w:numId w:val="0"/>
        </w:numPr>
        <w:ind w:leftChars="0"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协办单位：教育部设计理论与整合创新课程虚拟教研室、中国海洋大学出版社、中国·香山设计百人会、东方创意之星产教联盟、东方好创意设计实践工作坊联盟、艺术与设计类期刊集刊学术协作联盟（ADJCA）、CDS中国设计师沙龙、长三角中职美术教育联盟等 </w:t>
      </w:r>
    </w:p>
    <w:p w14:paraId="593ABD35">
      <w:pPr>
        <w:numPr>
          <w:ilvl w:val="0"/>
          <w:numId w:val="0"/>
        </w:numPr>
        <w:ind w:leftChars="0"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支持单位：仓耳屏显字库、上海市原创设计大师工作室等 支持媒体：《上海视觉》学报、《集美大学学报》、《东方创意学刊》等。 </w:t>
      </w:r>
    </w:p>
    <w:p w14:paraId="40C61EC5">
      <w:pPr>
        <w:numPr>
          <w:ilvl w:val="0"/>
          <w:numId w:val="0"/>
        </w:numPr>
        <w:ind w:leftChars="0"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大赛官方平台：东方好创意大赛网https://www.ogdcn.com/ </w:t>
      </w:r>
    </w:p>
    <w:p w14:paraId="3EAAD723">
      <w:pPr>
        <w:numPr>
          <w:ilvl w:val="0"/>
          <w:numId w:val="1"/>
        </w:numPr>
        <w:ind w:left="0" w:leftChars="0" w:firstLine="0" w:firstLineChars="0"/>
        <w:jc w:val="both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 xml:space="preserve">参赛对象 </w:t>
      </w:r>
    </w:p>
    <w:p w14:paraId="1D7E77F6">
      <w:pPr>
        <w:numPr>
          <w:ilvl w:val="0"/>
          <w:numId w:val="0"/>
        </w:numPr>
        <w:ind w:leftChars="0"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1.院校教师组：国内外高等院校艺术设计类专业教师、其他学科教师。 </w:t>
      </w:r>
    </w:p>
    <w:p w14:paraId="63455AA5">
      <w:pPr>
        <w:numPr>
          <w:ilvl w:val="0"/>
          <w:numId w:val="0"/>
        </w:numPr>
        <w:ind w:leftChars="0"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2.企业导师组：愿意与高校合作或担任客座导师的企业家、设计师、技术专家。 </w:t>
      </w:r>
    </w:p>
    <w:p w14:paraId="54982AF5">
      <w:pPr>
        <w:numPr>
          <w:ilvl w:val="0"/>
          <w:numId w:val="0"/>
        </w:numPr>
        <w:ind w:leftChars="0"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3.博士组：有意向进入高校、名企或创业的国内外博士、博士后。 </w:t>
      </w:r>
    </w:p>
    <w:p w14:paraId="24CF8A88">
      <w:pPr>
        <w:jc w:val="both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五、赛程赛制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</w:p>
    <w:p w14:paraId="25FDCF1B">
      <w:pPr>
        <w:ind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1.赛程安排 </w:t>
      </w:r>
    </w:p>
    <w:p w14:paraId="7284053C">
      <w:pPr>
        <w:ind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截稿日期：2025年9月10日； </w:t>
      </w:r>
    </w:p>
    <w:p w14:paraId="057F4768">
      <w:pPr>
        <w:ind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大赛评审：2025年9-10月； </w:t>
      </w:r>
    </w:p>
    <w:p w14:paraId="0B92432E">
      <w:pPr>
        <w:ind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颁奖典礼：2025年12月左右。 </w:t>
      </w:r>
    </w:p>
    <w:p w14:paraId="6B06B402">
      <w:pPr>
        <w:jc w:val="both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>2.赛制安排 采用“校赛、省赛、国赛”三级赛制+区域协同模式，并按照既定规则运行组织实施。</w:t>
      </w:r>
    </w:p>
    <w:p w14:paraId="25212488">
      <w:pPr>
        <w:jc w:val="both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（1）校赛基础赛：以院系为单位对参赛作品进行审核评选，产生的优秀作品推送至省级赛。 </w:t>
      </w:r>
    </w:p>
    <w:p w14:paraId="5DE4B6ED">
      <w:pPr>
        <w:jc w:val="both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（2）省赛选拔赛：以省区市为单位，按既定规则组织参赛作品征集及评审活动，向国赛推送合乎规定条件的优秀作品；并组织讲座、论坛展览、工作坊等活动。 </w:t>
      </w:r>
    </w:p>
    <w:p w14:paraId="4A182BE7">
      <w:pPr>
        <w:jc w:val="both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（3）国赛总决赛：大赛组委会组织评审各分赛区推送入选国赛的作品，并策划组织大赛颁奖、产教论坛、师资培训等系列活动。 </w:t>
      </w:r>
    </w:p>
    <w:p w14:paraId="792FB2A5">
      <w:pPr>
        <w:jc w:val="both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六、赛道设置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</w:p>
    <w:p w14:paraId="3D8810AA">
      <w:pPr>
        <w:ind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根据教师教学、科研能力水平评价，主要成果指标分为“课程与教学”“论文与著作”“项目与课题”“艺术与设计作品”四大赛道，可选择参加。每件参赛作品需在作品提交页面填写200字以内说明，重点阐明三类优势：①参赛作品名称与内容简介；②参赛作品前期获奖、引用、专利等各类成果情况；③参赛作品联动学生就业创业、政企合作及产业化应用情况。 </w:t>
      </w:r>
    </w:p>
    <w:p w14:paraId="52F7B436">
      <w:pPr>
        <w:numPr>
          <w:ilvl w:val="0"/>
          <w:numId w:val="2"/>
        </w:numPr>
        <w:ind w:left="420" w:leftChars="0" w:firstLine="0" w:firstLineChars="0"/>
        <w:jc w:val="both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课程与教学赛道</w:t>
      </w:r>
    </w:p>
    <w:p w14:paraId="5751FE3F">
      <w:pPr>
        <w:numPr>
          <w:ilvl w:val="0"/>
          <w:numId w:val="3"/>
        </w:numPr>
        <w:ind w:left="560" w:leftChars="0" w:firstLine="0" w:firstLineChars="0"/>
        <w:jc w:val="both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参赛资格要求 ①设计类专业的专业课或专业基础课程； ②课程负责人已开设相应课程两个学期以上； ③未获得过省部级以上相关荣誉。</w:t>
      </w:r>
    </w:p>
    <w:p w14:paraId="37FD4537">
      <w:pPr>
        <w:numPr>
          <w:ilvl w:val="0"/>
          <w:numId w:val="0"/>
        </w:numPr>
        <w:ind w:left="560" w:leftChars="0"/>
        <w:jc w:val="both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（2）参赛内容 参赛提交内容为：课堂实录、教学样例和课程创新报告等。线上课程、线下课程、混合式课程或实践课程均可。</w:t>
      </w:r>
    </w:p>
    <w:p w14:paraId="4E89191D">
      <w:pPr>
        <w:jc w:val="both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进入国赛主要奖项候选者，需参加线下答辩。答辩前，提交说课视频及PPT，具体提交方式，另行通知。 </w:t>
      </w:r>
    </w:p>
    <w:p w14:paraId="2258E490">
      <w:pPr>
        <w:numPr>
          <w:ilvl w:val="0"/>
          <w:numId w:val="0"/>
        </w:numPr>
        <w:ind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提交要求 教学设计样例、课程创新报告采用pdf文档格式，大小100M内；文档上传后，可选择添加课堂实录视频，大小不超过100M，最多上传1个，格式要求mp4，视频编码H.264。 </w:t>
      </w:r>
    </w:p>
    <w:p w14:paraId="3929CD09">
      <w:pPr>
        <w:numPr>
          <w:ilvl w:val="0"/>
          <w:numId w:val="0"/>
        </w:numPr>
        <w:ind w:left="560" w:leftChars="0"/>
        <w:jc w:val="both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（4）参赛类别 课程与教学：具有创新性、示范引领性初建课程、</w:t>
      </w:r>
    </w:p>
    <w:p w14:paraId="53882610"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已获得校级或省级相关荣誉的课程均可参赛。链接国家级一流课程、精品课程、优质课程等。 </w:t>
      </w:r>
    </w:p>
    <w:p w14:paraId="01811222">
      <w:pPr>
        <w:numPr>
          <w:ilvl w:val="0"/>
          <w:numId w:val="2"/>
        </w:numPr>
        <w:ind w:left="420" w:leftChars="0" w:firstLine="0" w:firstLineChars="0"/>
        <w:jc w:val="both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论文与著作赛道 </w:t>
      </w:r>
    </w:p>
    <w:p w14:paraId="07404E5B">
      <w:pPr>
        <w:numPr>
          <w:ilvl w:val="0"/>
          <w:numId w:val="4"/>
        </w:numPr>
        <w:jc w:val="both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参赛内容：教学论文、学术论文、教材、专著、编著等。 </w:t>
      </w:r>
    </w:p>
    <w:p w14:paraId="7B0827E9">
      <w:pPr>
        <w:numPr>
          <w:ilvl w:val="0"/>
          <w:numId w:val="4"/>
        </w:numPr>
        <w:ind w:left="0" w:leftChars="0" w:firstLine="0" w:firstLineChars="0"/>
        <w:jc w:val="both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提交要求：pdf文档形式提交，含封面、目录、内容介绍、部分主要章节或完整内容等，大小100M内。 </w:t>
      </w:r>
    </w:p>
    <w:p w14:paraId="1ECF84B2">
      <w:pPr>
        <w:numPr>
          <w:ilvl w:val="0"/>
          <w:numId w:val="0"/>
        </w:numPr>
        <w:ind w:leftChars="0"/>
        <w:jc w:val="both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（3）参赛类别 ①已发表论文：近五年已发表的教学论文、学术论文等。须在“作品说明”中提交发表时间、刊物名称、影响因子相关数据等信息。 ②未发表论文：未发表的教学论文、学术论文等。主要获奖作品可推荐至若干家权威期刊发表。 ③已出版图书：正式出版的教材、专著等图书出版物。须在“作品说明”中提交出版时间、出版单位、获奖情况、发行情况等信息。 ④未出版书稿：未出版书稿或计划再版图书。主要获奖作品可获得推荐至教育部直属高校出版单位正式出版、申报国家级、省级规划教材及优秀教材等机会。  </w:t>
      </w:r>
    </w:p>
    <w:p w14:paraId="6D05BCEF">
      <w:pPr>
        <w:jc w:val="both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3.项目与课题赛道 </w:t>
      </w:r>
    </w:p>
    <w:p w14:paraId="2509163C">
      <w:pPr>
        <w:jc w:val="both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（1）参赛内容 个人或团队课题、项目成果、创新案例。如：设计创新项目策划方案、创新案例、市场应用设计项目案例、课题成果。项目内容不限，鼓励产教融合特色。 </w:t>
      </w:r>
    </w:p>
    <w:p w14:paraId="069D5424">
      <w:pPr>
        <w:jc w:val="both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（2）提交要求 成果汇总为一个pdf文档，含封面、成果简介、成果内容、附件支撑材料等，大小100M内。pdf上传完成后，还可选择添加视频（选填）。 </w:t>
      </w:r>
    </w:p>
    <w:p w14:paraId="7C7FE566">
      <w:pPr>
        <w:jc w:val="both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（3）参赛类别 ①未立项项目与课题：课题、项目成果、创新案例等。按模板提交。须在“作品说明”中提交作品特色，所对标的具体省部级课题或项目名称。主要奖项作品，可获得东方创意之星产教联盟相关课题立项，并择优孵化推送、申报至相关省部级课题或项目。 ②已结题项目与课题：课题、项目成果、创新案例等。须在投稿界面的“设计说明”中提交课题或项目特色、结题情况、应用情况、获奖情况等。 提示：未立项/已结题项目与课题提交文件模版请登录赛事官网下载。 </w:t>
      </w:r>
    </w:p>
    <w:p w14:paraId="1A3A8833">
      <w:pPr>
        <w:jc w:val="both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4.艺术与设计作品赛道 </w:t>
      </w:r>
    </w:p>
    <w:p w14:paraId="3E542E22">
      <w:pPr>
        <w:jc w:val="both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（1）参赛内容：艺术与设计作品，每人限提交一件个人代表性作品（包括合作作品）。 </w:t>
      </w:r>
    </w:p>
    <w:p w14:paraId="354F130C">
      <w:pPr>
        <w:jc w:val="both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（2）参赛资格要求：①有独立知识产权；②具有应用转化价值。 </w:t>
      </w:r>
    </w:p>
    <w:p w14:paraId="1457C3AD">
      <w:pPr>
        <w:jc w:val="both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（3）提交要求： ①静态作品，以平面方式提交实物或模型照片、设计效果图等1～5个展板。每个展板为A3版面（宽297mm×高420mm），大小5M内，精度高于300dpi；以jpg格式上传，不要以压缩包格式上传；设计说明在上传作品页面填写，不能作为文档文件上传； ②动态作品，以视频形式提交，大小不超过100M，最多上传1个；格式要求：mp4（视频编码：H.264）。视频上传完成后，还可选择添加视频图片（非必填）。 </w:t>
      </w:r>
    </w:p>
    <w:p w14:paraId="3CB5FC09">
      <w:pPr>
        <w:jc w:val="both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（4）参赛作品类别 ①艺术作品：国画、油画、版画、雕塑、书法、篆刻、水彩、工艺美术等。 ②设计作品：工业产品设计、视觉传达、环境设计、时尚设计、数字媒体、影视艺术、非遗文创、元宇宙。 提示：允许人机结合AIGC作品；不接受全流程使用AIGC作品，违者，将被视为无效作品。使用AI工具人工融合的作品需要标注工具名称和人（脑）机比（例）。有用AI嫌疑而未标注者，视全流程AI作品处理。 注： ①书画类作品：提交扫描或高清拍摄等形式数字化作品。作品尺寸、材料、使用绘画工具不限。获奖后，根据展览需要，提交实物。 ②交互类作品：以游戏、交互效果等过程预览视频形式提交，录制程序实际运行画面。 ③产品设计相关作品：可同时提交作品展示视频，在作品提交页面提交创作过程。 </w:t>
      </w:r>
    </w:p>
    <w:p w14:paraId="50AF3E2A">
      <w:pPr>
        <w:jc w:val="both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 xml:space="preserve"> 七、参赛作品提交要求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</w:p>
    <w:p w14:paraId="605CEE4E">
      <w:pPr>
        <w:jc w:val="both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1.作品说明：不超过200字，阐述作品亮点、创意、文化等信息。</w:t>
      </w:r>
    </w:p>
    <w:p w14:paraId="1F98C583">
      <w:pPr>
        <w:jc w:val="both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2.作品信息：提交资料均不得出现作者的任何信息和记号。设计说明在上传作品页面填写，不能作为文档文件上传。 </w:t>
      </w:r>
    </w:p>
    <w:p w14:paraId="588B37F5">
      <w:pPr>
        <w:jc w:val="both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3.作者数量：个人或团队均可参赛。团队参赛作品或项目可跨单位组队（团队作品以第一作者所在赛区，选择相应赛区提交作品），每件作品的作者数量不超过5人。 </w:t>
      </w:r>
    </w:p>
    <w:p w14:paraId="59F077B5">
      <w:pPr>
        <w:jc w:val="both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 xml:space="preserve"> 八、参赛流程 </w:t>
      </w:r>
    </w:p>
    <w:p w14:paraId="045CB716">
      <w:pPr>
        <w:jc w:val="both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1.在线报名&amp;提交参赛作品  详见参赛报名&amp;作品提交流程 </w:t>
      </w:r>
    </w:p>
    <w:p w14:paraId="1E45EA3E">
      <w:pPr>
        <w:jc w:val="both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2.大赛评审：评审分为校赛、省赛和国赛三级评审。校赛评审由各院系组织评审，推送至省赛；省赛评审由各省赛执委会参照《省赛评审规则》组织评审，主要奖项作品项目推送至国赛；国赛评审由大赛组委会组织，最终评选出国赛奖项。 </w:t>
      </w:r>
    </w:p>
    <w:p w14:paraId="0A8B4427">
      <w:pPr>
        <w:jc w:val="both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 xml:space="preserve">九、奖项设置 </w:t>
      </w:r>
    </w:p>
    <w:p w14:paraId="70B6FEC7">
      <w:pPr>
        <w:jc w:val="both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1.省赛奖项设置：特金奖，金奖、银奖、铜奖，优秀组织单位奖。 </w:t>
      </w:r>
    </w:p>
    <w:p w14:paraId="78EC21D3">
      <w:pPr>
        <w:jc w:val="both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2.国赛奖项设置：金奖、银奖、铜奖，优秀组织单位奖。 </w:t>
      </w:r>
    </w:p>
    <w:p w14:paraId="542F540A">
      <w:pPr>
        <w:jc w:val="both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3.主题赛道奖项及奖品设置，详见相应主题设计赛道官网相关信息。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 xml:space="preserve">十、知识产权 </w:t>
      </w:r>
    </w:p>
    <w:p w14:paraId="3502745C">
      <w:pPr>
        <w:ind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1.知识产权 </w:t>
      </w:r>
    </w:p>
    <w:p w14:paraId="5FCB6387">
      <w:pPr>
        <w:ind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（1）参赛者应拥有参赛内容的完全知识产权，一旦发现侵权，则参赛资格及所获奖项作废，参赛者承担全部法律责任。 </w:t>
      </w:r>
    </w:p>
    <w:p w14:paraId="0C067BA7">
      <w:pPr>
        <w:ind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（2）参赛者承担保护其项目知识产权的责任。组委会享有对参赛内容进行媒体宣传、出版发行、展示及产业化交易权利。 </w:t>
      </w:r>
    </w:p>
    <w:p w14:paraId="03050D15">
      <w:pPr>
        <w:ind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（3）参赛者有义务配合大赛组委会，推进成果转化与产业化应用。不配合者，大赛组委会保留取消其相关奖项的权利。</w:t>
      </w:r>
    </w:p>
    <w:p w14:paraId="1A3BDFCD">
      <w:pPr>
        <w:ind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2.相关说明 </w:t>
      </w:r>
    </w:p>
    <w:p w14:paraId="0E3CF74E">
      <w:pPr>
        <w:ind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（1）奖项如有争议，以评审结果为准。根据参赛作品项目质量及创新程度等特殊条件，组委会有权空缺奖项。 </w:t>
      </w:r>
    </w:p>
    <w:p w14:paraId="2617D8DC">
      <w:pPr>
        <w:ind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（2）大赛具体安排由组委会制定并公告。 </w:t>
      </w:r>
    </w:p>
    <w:p w14:paraId="29EFC59A">
      <w:pPr>
        <w:jc w:val="both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 xml:space="preserve"> 十一、成果转化 </w:t>
      </w:r>
    </w:p>
    <w:p w14:paraId="77868AD6">
      <w:pPr>
        <w:ind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1.参与共建：大赛获奖者或单位将有机会参加赛前培训、工作坊联盟、产教融合基地、工业设计中心共建等活动。 </w:t>
      </w:r>
    </w:p>
    <w:p w14:paraId="2D23D43E">
      <w:pPr>
        <w:ind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2.项目对接：大赛优秀项目将在线上线下公开展示，促进教学科研成果的常态化对接落地。 </w:t>
      </w:r>
    </w:p>
    <w:p w14:paraId="21F2ABB3">
      <w:pPr>
        <w:ind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3.成果孵化：组委会有权遴选并孵化相关参赛内容，通过作者沙龙、工作坊联盟等平台推动优秀作品成果转化对接和落地。</w:t>
      </w:r>
    </w:p>
    <w:p w14:paraId="14EC0546">
      <w:pPr>
        <w:ind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4.以赛促教学·以赛促研：大赛将通过艺术与设计类期刊集刊学术协作联盟（ADJCA）、东方好创意设计实践工作坊联盟、论文与教材作者沙龙等平台，强化产教研融合实施机制：打通产业链，培育创新创业团队，助力作品投产与学术研究应用，开展产教融合项目与校企实训基地建设等，提升教学水平与科研转化率。 </w:t>
      </w:r>
    </w:p>
    <w:p w14:paraId="057E6637">
      <w:pPr>
        <w:jc w:val="both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十二、赛事咨询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</w:p>
    <w:p w14:paraId="44B4F4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咨询电话：13391219369（微信同号）  </w:t>
      </w:r>
    </w:p>
    <w:p w14:paraId="7971D6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官方公众号：东方好创意 参赛交流QQ群：617985445（口令：参赛咨询） 参赛交流微信群，可联系秘书处加入！ </w:t>
      </w:r>
    </w:p>
    <w:p w14:paraId="02E9E2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赛事监督：dasaijiandu@163.com 大赛组委会对本届大赛组织实施方案保留最终解释权，相关资讯以大赛官网发布为准。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C758DD6"/>
    <w:multiLevelType w:val="singleLevel"/>
    <w:tmpl w:val="9C758DD6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EA5BDA86"/>
    <w:multiLevelType w:val="singleLevel"/>
    <w:tmpl w:val="EA5BDA86"/>
    <w:lvl w:ilvl="0" w:tentative="0">
      <w:start w:val="1"/>
      <w:numFmt w:val="decimal"/>
      <w:suff w:val="nothing"/>
      <w:lvlText w:val="（%1）"/>
      <w:lvlJc w:val="left"/>
      <w:pPr>
        <w:ind w:left="560" w:leftChars="0" w:firstLine="0" w:firstLineChars="0"/>
      </w:pPr>
    </w:lvl>
  </w:abstractNum>
  <w:abstractNum w:abstractNumId="2">
    <w:nsid w:val="32B0A8F4"/>
    <w:multiLevelType w:val="singleLevel"/>
    <w:tmpl w:val="32B0A8F4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420" w:leftChars="0" w:firstLine="0" w:firstLineChars="0"/>
      </w:pPr>
    </w:lvl>
  </w:abstractNum>
  <w:abstractNum w:abstractNumId="3">
    <w:nsid w:val="697B1184"/>
    <w:multiLevelType w:val="singleLevel"/>
    <w:tmpl w:val="697B118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4F63BF"/>
    <w:rsid w:val="042E298B"/>
    <w:rsid w:val="1D4F6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3919</Words>
  <Characters>4112</Characters>
  <Lines>0</Lines>
  <Paragraphs>0</Paragraphs>
  <TotalTime>9</TotalTime>
  <ScaleCrop>false</ScaleCrop>
  <LinksUpToDate>false</LinksUpToDate>
  <CharactersWithSpaces>4227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2025-03-24T02:21:00Z</dcterms:created>
  <dc:creator>嘉嘉</dc:creator>
  <cp:lastModifiedBy>嘉嘉</cp:lastModifiedBy>
  <dcterms:modified xsi:type="dcterms:W3CDTF">2025-03-24T07:52:30Z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B46E9E6C11BB4130B4BB2DA15E145B3D_13</vt:lpwstr>
  </property>
  <property fmtid="{D5CDD505-2E9C-101B-9397-08002B2CF9AE}" pid="4" name="KSOTemplateDocerSaveRecord">
    <vt:lpwstr>eyJoZGlkIjoiZDMwNTU5YzVhNzk2N2U4NTg2NzFmYWVkMzlkMzU3NjgiLCJ1c2VySWQiOiIyMzkzNDgxMTYifQ==</vt:lpwstr>
  </property>
</Properties>
</file>